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453" w:firstLineChars="150"/>
        <w:rPr>
          <w:rFonts w:ascii="仿宋" w:hAnsi="仿宋" w:eastAsia="仿宋"/>
          <w:sz w:val="32"/>
          <w:szCs w:val="32"/>
        </w:rPr>
      </w:pPr>
    </w:p>
    <w:p>
      <w:pPr>
        <w:spacing w:line="540" w:lineRule="exact"/>
        <w:ind w:firstLine="453" w:firstLineChars="150"/>
        <w:rPr>
          <w:rFonts w:ascii="仿宋" w:hAnsi="仿宋" w:eastAsia="仿宋"/>
          <w:sz w:val="32"/>
          <w:szCs w:val="32"/>
        </w:rPr>
      </w:pPr>
    </w:p>
    <w:p>
      <w:pPr>
        <w:spacing w:line="540" w:lineRule="exact"/>
        <w:ind w:firstLine="453" w:firstLineChars="150"/>
        <w:rPr>
          <w:rFonts w:ascii="仿宋" w:hAnsi="仿宋" w:eastAsia="仿宋"/>
          <w:sz w:val="32"/>
          <w:szCs w:val="32"/>
        </w:rPr>
      </w:pPr>
    </w:p>
    <w:p>
      <w:pPr>
        <w:spacing w:line="540" w:lineRule="exact"/>
        <w:ind w:firstLine="453" w:firstLineChars="150"/>
        <w:rPr>
          <w:rFonts w:ascii="仿宋" w:hAnsi="仿宋" w:eastAsia="仿宋"/>
          <w:sz w:val="32"/>
          <w:szCs w:val="32"/>
        </w:rPr>
      </w:pPr>
    </w:p>
    <w:p>
      <w:pPr>
        <w:spacing w:line="540" w:lineRule="exact"/>
        <w:ind w:firstLine="453" w:firstLineChars="150"/>
        <w:rPr>
          <w:rFonts w:ascii="仿宋" w:hAnsi="仿宋" w:eastAsia="仿宋"/>
          <w:sz w:val="32"/>
          <w:szCs w:val="32"/>
        </w:rPr>
      </w:pPr>
    </w:p>
    <w:p>
      <w:pPr>
        <w:spacing w:line="540" w:lineRule="exact"/>
        <w:ind w:firstLine="453" w:firstLineChars="150"/>
        <w:rPr>
          <w:rFonts w:ascii="仿宋" w:hAnsi="仿宋" w:eastAsia="仿宋"/>
          <w:sz w:val="32"/>
          <w:szCs w:val="32"/>
        </w:rPr>
      </w:pPr>
    </w:p>
    <w:p>
      <w:pPr>
        <w:spacing w:line="660" w:lineRule="exact"/>
        <w:ind w:firstLine="453" w:firstLineChars="150"/>
        <w:rPr>
          <w:rFonts w:ascii="仿宋" w:hAnsi="仿宋" w:eastAsia="仿宋"/>
          <w:sz w:val="32"/>
          <w:szCs w:val="32"/>
        </w:rPr>
      </w:pPr>
    </w:p>
    <w:p>
      <w:pPr>
        <w:spacing w:line="420" w:lineRule="exact"/>
        <w:jc w:val="center"/>
        <w:rPr>
          <w:rFonts w:ascii="楷体_GB2312" w:hAnsi="仿宋" w:eastAsia="楷体_GB2312"/>
          <w:sz w:val="32"/>
          <w:szCs w:val="32"/>
        </w:rPr>
      </w:pPr>
      <w:r>
        <w:rPr>
          <w:rFonts w:hint="eastAsia" w:ascii="宋体" w:hAnsi="宋体"/>
          <w:sz w:val="32"/>
          <w:szCs w:val="32"/>
        </w:rPr>
        <w:t>洪科字〔2016〕99号</w:t>
      </w:r>
    </w:p>
    <w:p>
      <w:pPr>
        <w:spacing w:line="500" w:lineRule="exact"/>
        <w:ind w:firstLine="453" w:firstLineChars="150"/>
        <w:rPr>
          <w:rFonts w:ascii="楷体" w:hAnsi="楷体" w:eastAsia="楷体"/>
          <w:sz w:val="32"/>
          <w:szCs w:val="32"/>
        </w:rPr>
      </w:pPr>
    </w:p>
    <w:p>
      <w:pPr>
        <w:spacing w:line="500" w:lineRule="exact"/>
        <w:ind w:firstLine="453" w:firstLineChars="150"/>
        <w:rPr>
          <w:rFonts w:ascii="仿宋_GB2312" w:hAnsi="宋体"/>
          <w:sz w:val="32"/>
          <w:szCs w:val="32"/>
        </w:rPr>
      </w:pPr>
    </w:p>
    <w:p>
      <w:pPr>
        <w:spacing w:line="520" w:lineRule="exact"/>
        <w:jc w:val="center"/>
        <w:rPr>
          <w:b/>
          <w:sz w:val="44"/>
          <w:szCs w:val="44"/>
        </w:rPr>
      </w:pPr>
      <w:r>
        <w:rPr>
          <w:rFonts w:hint="eastAsia"/>
          <w:b/>
          <w:sz w:val="44"/>
          <w:szCs w:val="44"/>
        </w:rPr>
        <w:t>关于做好“十二五”以来省级科技支撑</w:t>
      </w:r>
    </w:p>
    <w:p>
      <w:pPr>
        <w:spacing w:line="520" w:lineRule="exact"/>
        <w:jc w:val="center"/>
        <w:rPr>
          <w:b/>
          <w:sz w:val="44"/>
          <w:szCs w:val="44"/>
        </w:rPr>
      </w:pPr>
      <w:r>
        <w:rPr>
          <w:rFonts w:hint="eastAsia"/>
          <w:b/>
          <w:sz w:val="44"/>
          <w:szCs w:val="44"/>
        </w:rPr>
        <w:t>计划项目（社发、农业、星火）</w:t>
      </w:r>
    </w:p>
    <w:p>
      <w:pPr>
        <w:spacing w:line="520" w:lineRule="exact"/>
        <w:jc w:val="center"/>
        <w:rPr>
          <w:b/>
          <w:sz w:val="44"/>
          <w:szCs w:val="44"/>
        </w:rPr>
      </w:pPr>
      <w:r>
        <w:rPr>
          <w:rFonts w:hint="eastAsia"/>
          <w:b/>
          <w:sz w:val="44"/>
          <w:szCs w:val="44"/>
        </w:rPr>
        <w:t>验收工作的通知</w:t>
      </w:r>
    </w:p>
    <w:p>
      <w:pPr>
        <w:spacing w:line="600" w:lineRule="exact"/>
        <w:ind w:firstLine="384" w:firstLineChars="200"/>
      </w:pPr>
    </w:p>
    <w:p>
      <w:pPr>
        <w:spacing w:line="600" w:lineRule="exact"/>
        <w:rPr>
          <w:rFonts w:ascii="仿宋_GB2312" w:hAnsi="仿宋" w:eastAsia="仿宋_GB2312"/>
          <w:sz w:val="32"/>
          <w:szCs w:val="32"/>
        </w:rPr>
      </w:pPr>
      <w:r>
        <w:rPr>
          <w:rFonts w:hint="eastAsia" w:ascii="仿宋_GB2312" w:hAnsi="仿宋" w:eastAsia="仿宋_GB2312"/>
          <w:sz w:val="32"/>
          <w:szCs w:val="32"/>
        </w:rPr>
        <w:t>各县区科技管理部门、市属科研院所：</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受省科技厅委托，根据省科技厅关于印发《江西省科技计划项目验收（结题）管理的实施细则（试行）的通知》的要求，为加强项目过程绩效和信用管理，将对“十二五”以来实施期满未验收（鉴定）的科技计划项目进行验收。现将有关事项通知如下：</w:t>
      </w:r>
    </w:p>
    <w:p>
      <w:pPr>
        <w:spacing w:line="600" w:lineRule="exact"/>
        <w:ind w:firstLine="604" w:firstLineChars="200"/>
        <w:rPr>
          <w:rFonts w:ascii="黑体" w:hAnsi="黑体" w:eastAsia="黑体"/>
          <w:sz w:val="32"/>
          <w:szCs w:val="32"/>
        </w:rPr>
      </w:pPr>
      <w:r>
        <w:rPr>
          <w:rFonts w:hint="eastAsia" w:ascii="黑体" w:hAnsi="黑体" w:eastAsia="黑体"/>
          <w:sz w:val="32"/>
          <w:szCs w:val="32"/>
        </w:rPr>
        <w:t>一、验收（鉴定）范围</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验收项目为“十二五”期间以来到期未验收（鉴定）的省级科技支撑计划项目（社发、农业、星火）。</w:t>
      </w:r>
    </w:p>
    <w:p>
      <w:pPr>
        <w:spacing w:line="600" w:lineRule="exact"/>
        <w:ind w:firstLine="604" w:firstLineChars="200"/>
        <w:rPr>
          <w:rFonts w:ascii="黑体" w:hAnsi="黑体" w:eastAsia="黑体"/>
          <w:sz w:val="32"/>
          <w:szCs w:val="32"/>
        </w:rPr>
      </w:pPr>
      <w:r>
        <w:rPr>
          <w:rFonts w:hint="eastAsia" w:ascii="黑体" w:hAnsi="黑体" w:eastAsia="黑体"/>
          <w:sz w:val="32"/>
          <w:szCs w:val="32"/>
        </w:rPr>
        <w:t>二、验收内容和方式</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项目验收按照省科技厅关于印发《江西省科技计划项目验收（结题）管理的实施细则（试行）的通知》的要求进行。验收依据是项目承担单位与省科技厅签订的省科技计划项目任务合同书。项目单位按照有关要求认真整理技术资料，编写项目实施工作报告和技术研究报告，经县区科技管理部门审核同意后向市科技局提出验收申请。</w:t>
      </w:r>
    </w:p>
    <w:p>
      <w:pPr>
        <w:spacing w:line="600" w:lineRule="exact"/>
        <w:ind w:firstLine="604" w:firstLineChars="200"/>
        <w:rPr>
          <w:rFonts w:ascii="仿宋_GB2312" w:hAnsi="仿宋" w:eastAsia="仿宋_GB2312"/>
          <w:sz w:val="32"/>
          <w:szCs w:val="32"/>
          <w:highlight w:val="yellow"/>
        </w:rPr>
      </w:pPr>
      <w:r>
        <w:rPr>
          <w:rFonts w:hint="eastAsia" w:ascii="仿宋_GB2312" w:hAnsi="仿宋" w:eastAsia="仿宋_GB2312"/>
          <w:sz w:val="32"/>
          <w:szCs w:val="32"/>
        </w:rPr>
        <w:t>验收由市科技局组织5位相关领域从事专业研究和财务管理的专家组成验收专家组进行。验收方式为集中会议形式。</w:t>
      </w:r>
      <w:bookmarkStart w:id="0" w:name="_GoBack"/>
      <w:r>
        <w:rPr>
          <w:rFonts w:hint="eastAsia" w:ascii="仿宋_GB2312" w:hAnsi="仿宋" w:eastAsia="仿宋_GB2312"/>
          <w:sz w:val="32"/>
          <w:szCs w:val="32"/>
          <w:highlight w:val="yellow"/>
        </w:rPr>
        <w:t>集中会议验收通过现场考察或观看演示、听取课题单位汇报、专家质疑等方式，确定是否通过验收。</w:t>
      </w:r>
    </w:p>
    <w:bookmarkEnd w:id="0"/>
    <w:p>
      <w:pPr>
        <w:spacing w:line="600" w:lineRule="exact"/>
        <w:ind w:firstLine="604" w:firstLineChars="200"/>
        <w:rPr>
          <w:rFonts w:ascii="黑体" w:hAnsi="黑体" w:eastAsia="黑体"/>
          <w:sz w:val="32"/>
          <w:szCs w:val="32"/>
        </w:rPr>
      </w:pPr>
      <w:r>
        <w:rPr>
          <w:rFonts w:hint="eastAsia" w:ascii="黑体" w:hAnsi="黑体" w:eastAsia="黑体"/>
          <w:sz w:val="32"/>
          <w:szCs w:val="32"/>
        </w:rPr>
        <w:t>三、验收时间安排</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验收工作原则上于8月30日前完成。</w:t>
      </w:r>
    </w:p>
    <w:p>
      <w:pPr>
        <w:spacing w:line="600" w:lineRule="exact"/>
        <w:ind w:firstLine="604" w:firstLineChars="200"/>
        <w:rPr>
          <w:rFonts w:ascii="黑体" w:hAnsi="黑体" w:eastAsia="黑体"/>
          <w:sz w:val="32"/>
          <w:szCs w:val="32"/>
        </w:rPr>
      </w:pPr>
      <w:r>
        <w:rPr>
          <w:rFonts w:hint="eastAsia" w:ascii="黑体" w:hAnsi="黑体" w:eastAsia="黑体"/>
          <w:sz w:val="32"/>
          <w:szCs w:val="32"/>
        </w:rPr>
        <w:t>四、有关要求</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1、要认真组织，按时上报。各县区科技管理部门、市属科研院所要切实重视这次省级科技支撑计划项目的验收工作，及时梳理所属单位未验收（鉴定）项目情况，组织区域内企业及时报送验收材料。并于8月10日前，将到期未验收项目汇总表并按技术领域分组，报送市科技局农社处。</w:t>
      </w: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2、要认真审核，确保质量。各相关单位把好初审关。要认真对照省厅验收要求对项目单位的验收材料进行初审，报送的项目验收材料要按照省科技厅项目验收大纲内容要求装订成册（见附件），确保报送验收材料的质量。</w:t>
      </w:r>
    </w:p>
    <w:p>
      <w:pPr>
        <w:spacing w:line="600" w:lineRule="exact"/>
        <w:ind w:firstLine="604" w:firstLineChars="200"/>
        <w:rPr>
          <w:color w:val="3E3E3E"/>
          <w:szCs w:val="21"/>
        </w:rPr>
      </w:pPr>
      <w:r>
        <w:rPr>
          <w:rFonts w:hint="eastAsia" w:ascii="仿宋_GB2312" w:hAnsi="仿宋" w:eastAsia="仿宋_GB2312"/>
          <w:sz w:val="32"/>
          <w:szCs w:val="32"/>
        </w:rPr>
        <w:t>3、要严格把关，按规办事。各相关单位要对不能按合同书（任务书）要求完成研究任务的项目，项目承担单位应以书面报告形式向所属县区科技管理部门说明情况。逾期不验收又不作出情况说明的，将予以通报，并不能再次承担新的课题。</w:t>
      </w:r>
    </w:p>
    <w:p>
      <w:pPr>
        <w:spacing w:line="600" w:lineRule="exact"/>
        <w:ind w:firstLine="604" w:firstLineChars="200"/>
        <w:rPr>
          <w:rFonts w:ascii="仿宋_GB2312" w:eastAsia="仿宋_GB2312"/>
          <w:sz w:val="32"/>
          <w:szCs w:val="32"/>
        </w:rPr>
      </w:pPr>
    </w:p>
    <w:p>
      <w:pPr>
        <w:spacing w:line="60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附件：省级项目验收相关材料</w:t>
      </w:r>
    </w:p>
    <w:p>
      <w:pPr>
        <w:spacing w:line="600" w:lineRule="exact"/>
        <w:ind w:firstLine="604" w:firstLineChars="200"/>
        <w:rPr>
          <w:rFonts w:ascii="仿宋_GB2312" w:hAnsi="仿宋" w:eastAsia="仿宋_GB2312"/>
          <w:sz w:val="32"/>
          <w:szCs w:val="32"/>
        </w:rPr>
      </w:pPr>
    </w:p>
    <w:p>
      <w:pPr>
        <w:spacing w:line="600" w:lineRule="exact"/>
        <w:ind w:firstLine="604" w:firstLineChars="200"/>
        <w:rPr>
          <w:rFonts w:ascii="仿宋_GB2312" w:hAnsi="仿宋" w:eastAsia="仿宋_GB2312"/>
          <w:sz w:val="32"/>
          <w:szCs w:val="32"/>
        </w:rPr>
      </w:pPr>
    </w:p>
    <w:p>
      <w:pPr>
        <w:spacing w:line="600" w:lineRule="exact"/>
        <w:ind w:firstLine="5432" w:firstLineChars="1800"/>
        <w:rPr>
          <w:rFonts w:ascii="仿宋_GB2312" w:hAnsi="仿宋" w:eastAsia="仿宋_GB2312"/>
          <w:sz w:val="32"/>
          <w:szCs w:val="32"/>
        </w:rPr>
      </w:pPr>
      <w:r>
        <w:rPr>
          <w:rFonts w:hint="eastAsia" w:ascii="仿宋_GB2312" w:hAnsi="仿宋" w:eastAsia="仿宋_GB2312"/>
          <w:sz w:val="32"/>
          <w:szCs w:val="32"/>
        </w:rPr>
        <w:t>南昌市科学技术局</w:t>
      </w:r>
    </w:p>
    <w:p>
      <w:pPr>
        <w:spacing w:line="600" w:lineRule="exact"/>
        <w:ind w:firstLine="1056" w:firstLineChars="350"/>
        <w:rPr>
          <w:rFonts w:hint="eastAsia" w:ascii="仿宋_GB2312" w:hAnsi="仿宋" w:eastAsia="仿宋_GB2312"/>
          <w:sz w:val="32"/>
          <w:szCs w:val="32"/>
        </w:rPr>
      </w:pPr>
      <w:r>
        <w:rPr>
          <w:rFonts w:hint="eastAsia" w:ascii="仿宋_GB2312" w:hAnsi="仿宋" w:eastAsia="仿宋_GB2312"/>
          <w:sz w:val="32"/>
          <w:szCs w:val="32"/>
        </w:rPr>
        <w:t xml:space="preserve">                              2016年8月4日</w:t>
      </w: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ascii="仿宋_GB2312" w:hAnsi="仿宋" w:eastAsia="仿宋_GB2312"/>
          <w:sz w:val="32"/>
          <w:szCs w:val="32"/>
        </w:rPr>
      </w:pPr>
    </w:p>
    <w:p>
      <w:pPr>
        <w:spacing w:line="600" w:lineRule="exact"/>
        <w:rPr>
          <w:rFonts w:ascii="仿宋_GB2312" w:hAnsi="仿宋" w:eastAsia="仿宋_GB2312"/>
          <w:sz w:val="32"/>
          <w:szCs w:val="32"/>
        </w:rPr>
      </w:pPr>
    </w:p>
    <w:p>
      <w:pPr>
        <w:spacing w:line="600" w:lineRule="exact"/>
        <w:rPr>
          <w:rFonts w:ascii="仿宋_GB2312" w:hAnsi="仿宋" w:eastAsia="仿宋_GB2312"/>
          <w:sz w:val="32"/>
          <w:szCs w:val="32"/>
        </w:rPr>
      </w:pPr>
    </w:p>
    <w:p>
      <w:pPr>
        <w:spacing w:line="600" w:lineRule="exact"/>
        <w:rPr>
          <w:rFonts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widowControl/>
        <w:jc w:val="left"/>
        <w:rPr>
          <w:rFonts w:ascii="仿宋_GB2312" w:hAnsi="仿宋" w:eastAsia="仿宋_GB2312"/>
          <w:sz w:val="32"/>
          <w:szCs w:val="32"/>
        </w:rPr>
      </w:pPr>
      <w:r>
        <w:rPr>
          <w:rFonts w:ascii="仿宋_GB2312" w:hAnsi="仿宋" w:eastAsia="仿宋_GB2312"/>
          <w:sz w:val="32"/>
          <w:szCs w:val="32"/>
        </w:rPr>
        <w:br w:type="page"/>
      </w: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hint="eastAsia" w:ascii="仿宋_GB2312" w:hAnsi="仿宋" w:eastAsia="仿宋_GB2312"/>
          <w:sz w:val="32"/>
          <w:szCs w:val="32"/>
        </w:rPr>
      </w:pPr>
    </w:p>
    <w:p>
      <w:pPr>
        <w:spacing w:line="600" w:lineRule="exact"/>
        <w:rPr>
          <w:rFonts w:ascii="仿宋_GB2312" w:hAnsi="仿宋" w:eastAsia="仿宋_GB2312"/>
          <w:sz w:val="32"/>
          <w:szCs w:val="32"/>
        </w:rPr>
      </w:pPr>
    </w:p>
    <w:p>
      <w:pPr>
        <w:spacing w:line="600" w:lineRule="exact"/>
        <w:rPr>
          <w:rFonts w:hint="eastAsia" w:ascii="仿宋_GB2312" w:hAnsi="仿宋" w:eastAsia="仿宋_GB2312"/>
          <w:sz w:val="32"/>
          <w:szCs w:val="32"/>
        </w:rPr>
      </w:pPr>
    </w:p>
    <w:p>
      <w:pPr>
        <w:spacing w:line="240" w:lineRule="exact"/>
        <w:rPr>
          <w:rFonts w:ascii="仿宋_GB2312" w:hAnsi="仿宋" w:eastAsia="仿宋_GB2312"/>
          <w:sz w:val="32"/>
          <w:szCs w:val="32"/>
        </w:rPr>
      </w:pPr>
    </w:p>
    <w:p>
      <w:pPr>
        <w:spacing w:line="600" w:lineRule="exact"/>
        <w:rPr>
          <w:rFonts w:ascii="仿宋_GB2312" w:hAnsi="仿宋" w:eastAsia="仿宋_GB2312"/>
          <w:sz w:val="32"/>
          <w:szCs w:val="32"/>
        </w:rPr>
      </w:pPr>
      <w:r>
        <w:rPr>
          <w:rFonts w:ascii="仿宋_GB2312" w:hAnsi="仿宋" w:eastAsia="仿宋_GB2312"/>
          <w:b/>
          <w:sz w:val="32"/>
          <w:szCs w:val="32"/>
        </w:rPr>
        <w:pict>
          <v:shape id="_x0000_s1029" o:spid="_x0000_s1029" o:spt="32" type="#_x0000_t32" style="position:absolute;left:0pt;margin-left:-8.15pt;margin-top:3.85pt;height:0pt;width:449.25pt;z-index:251658240;mso-width-relative:page;mso-height-relative:page;" o:connectortype="straight" filled="f" coordsize="21600,21600">
            <v:path arrowok="t"/>
            <v:fill on="f" focussize="0,0"/>
            <v:stroke weight="1.25pt"/>
            <v:imagedata o:title=""/>
            <o:lock v:ext="edit"/>
          </v:shape>
        </w:pict>
      </w:r>
      <w:r>
        <w:rPr>
          <w:rFonts w:ascii="仿宋_GB2312" w:hAnsi="仿宋" w:eastAsia="仿宋_GB2312"/>
          <w:sz w:val="32"/>
          <w:szCs w:val="32"/>
        </w:rPr>
        <w:pict>
          <v:shape id="_x0000_s1028" o:spid="_x0000_s1028" o:spt="32" type="#_x0000_t32" style="position:absolute;left:0pt;margin-left:-8.9pt;margin-top:31.5pt;height:0pt;width:449.25pt;z-index:251658240;mso-width-relative:page;mso-height-relative:page;" o:connectortype="straight" filled="f" coordsize="21600,21600">
            <v:path arrowok="t"/>
            <v:fill on="f" focussize="0,0"/>
            <v:stroke weight="1.25pt"/>
            <v:imagedata o:title=""/>
            <o:lock v:ext="edit"/>
          </v:shape>
        </w:pict>
      </w:r>
      <w:r>
        <w:rPr>
          <w:rFonts w:hint="eastAsia" w:ascii="仿宋_GB2312" w:hAnsi="仿宋" w:eastAsia="仿宋_GB2312"/>
          <w:sz w:val="32"/>
          <w:szCs w:val="32"/>
        </w:rPr>
        <w:t>南昌市科学技术局办公室                2016年8月4日印发</w:t>
      </w:r>
    </w:p>
    <w:sectPr>
      <w:footerReference r:id="rId3" w:type="default"/>
      <w:footerReference r:id="rId4" w:type="even"/>
      <w:pgSz w:w="11906" w:h="16838"/>
      <w:pgMar w:top="2098" w:right="1304" w:bottom="1418" w:left="1588" w:header="851" w:footer="850" w:gutter="0"/>
      <w:pgNumType w:fmt="numberInDash"/>
      <w:cols w:space="425" w:num="1"/>
      <w:docGrid w:type="linesAndChars" w:linePitch="289" w:charSpace="-37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31839"/>
    </w:sdtPr>
    <w:sdtContent>
      <w:p>
        <w:pPr>
          <w:pStyle w:val="3"/>
          <w:ind w:right="180"/>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31852"/>
    </w:sdtPr>
    <w:sdtContent>
      <w:p>
        <w:pPr>
          <w:pStyle w:val="3"/>
          <w:ind w:right="540" w:firstLine="360" w:firstLineChars="200"/>
          <w:rPr>
            <w:sz w:val="28"/>
            <w:szCs w:val="22"/>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4 -</w:t>
        </w:r>
        <w:r>
          <w:rPr>
            <w:rFonts w:asciiTheme="minorEastAsia" w:hAnsiTheme="minorEastAsia" w:eastAsiaTheme="minorEastAsia"/>
            <w:sz w:val="28"/>
            <w:szCs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96"/>
  <w:drawingGridVerticalSpacing w:val="28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3524"/>
    <w:rsid w:val="000016B1"/>
    <w:rsid w:val="000043E9"/>
    <w:rsid w:val="00007366"/>
    <w:rsid w:val="000108B1"/>
    <w:rsid w:val="00066622"/>
    <w:rsid w:val="00073153"/>
    <w:rsid w:val="000911C5"/>
    <w:rsid w:val="00094CAB"/>
    <w:rsid w:val="000A027E"/>
    <w:rsid w:val="000B73D8"/>
    <w:rsid w:val="000C09F9"/>
    <w:rsid w:val="000C5AF5"/>
    <w:rsid w:val="000D0592"/>
    <w:rsid w:val="000D66B9"/>
    <w:rsid w:val="000E261A"/>
    <w:rsid w:val="000E6E28"/>
    <w:rsid w:val="000F738F"/>
    <w:rsid w:val="00124E3D"/>
    <w:rsid w:val="00130F3F"/>
    <w:rsid w:val="00137334"/>
    <w:rsid w:val="00146718"/>
    <w:rsid w:val="00155FE7"/>
    <w:rsid w:val="001568EC"/>
    <w:rsid w:val="00160F7A"/>
    <w:rsid w:val="00161424"/>
    <w:rsid w:val="00176BB0"/>
    <w:rsid w:val="001819F0"/>
    <w:rsid w:val="00181A7F"/>
    <w:rsid w:val="00190AB0"/>
    <w:rsid w:val="00191DB7"/>
    <w:rsid w:val="00195F1B"/>
    <w:rsid w:val="001A1C6F"/>
    <w:rsid w:val="001A5907"/>
    <w:rsid w:val="001A6E0A"/>
    <w:rsid w:val="001A783C"/>
    <w:rsid w:val="001C44B9"/>
    <w:rsid w:val="001D6C8A"/>
    <w:rsid w:val="001E0C6D"/>
    <w:rsid w:val="00207DBE"/>
    <w:rsid w:val="00213509"/>
    <w:rsid w:val="00214DA8"/>
    <w:rsid w:val="00230823"/>
    <w:rsid w:val="00295A5C"/>
    <w:rsid w:val="002C063D"/>
    <w:rsid w:val="002C0803"/>
    <w:rsid w:val="002C18A8"/>
    <w:rsid w:val="002C239F"/>
    <w:rsid w:val="00314A72"/>
    <w:rsid w:val="00317BBC"/>
    <w:rsid w:val="00324106"/>
    <w:rsid w:val="00324B42"/>
    <w:rsid w:val="003253FD"/>
    <w:rsid w:val="003676C0"/>
    <w:rsid w:val="00383AA5"/>
    <w:rsid w:val="003C03C5"/>
    <w:rsid w:val="003D09A6"/>
    <w:rsid w:val="003D32FD"/>
    <w:rsid w:val="003F574D"/>
    <w:rsid w:val="00427D75"/>
    <w:rsid w:val="0043423C"/>
    <w:rsid w:val="004367E7"/>
    <w:rsid w:val="004449BD"/>
    <w:rsid w:val="00472751"/>
    <w:rsid w:val="0047779A"/>
    <w:rsid w:val="00477EF9"/>
    <w:rsid w:val="004815D2"/>
    <w:rsid w:val="004850C0"/>
    <w:rsid w:val="00493E5C"/>
    <w:rsid w:val="004E3108"/>
    <w:rsid w:val="00500577"/>
    <w:rsid w:val="0050164B"/>
    <w:rsid w:val="00513C9E"/>
    <w:rsid w:val="00515B39"/>
    <w:rsid w:val="0052071A"/>
    <w:rsid w:val="00555FB2"/>
    <w:rsid w:val="00565292"/>
    <w:rsid w:val="00571C7C"/>
    <w:rsid w:val="00590EDD"/>
    <w:rsid w:val="00590FE5"/>
    <w:rsid w:val="00593D9D"/>
    <w:rsid w:val="005B75CD"/>
    <w:rsid w:val="005D38BF"/>
    <w:rsid w:val="005D641A"/>
    <w:rsid w:val="005E1976"/>
    <w:rsid w:val="005F7143"/>
    <w:rsid w:val="005F7F0C"/>
    <w:rsid w:val="00611789"/>
    <w:rsid w:val="0062501E"/>
    <w:rsid w:val="006256C9"/>
    <w:rsid w:val="006462A1"/>
    <w:rsid w:val="00652216"/>
    <w:rsid w:val="00661EB6"/>
    <w:rsid w:val="00671A44"/>
    <w:rsid w:val="00682040"/>
    <w:rsid w:val="006B4F60"/>
    <w:rsid w:val="006B5FF5"/>
    <w:rsid w:val="006D1744"/>
    <w:rsid w:val="0072700E"/>
    <w:rsid w:val="007359A4"/>
    <w:rsid w:val="00737A5A"/>
    <w:rsid w:val="00760774"/>
    <w:rsid w:val="00763357"/>
    <w:rsid w:val="00780DE0"/>
    <w:rsid w:val="007B2494"/>
    <w:rsid w:val="007C2B2F"/>
    <w:rsid w:val="008157A4"/>
    <w:rsid w:val="00820958"/>
    <w:rsid w:val="00834B81"/>
    <w:rsid w:val="00843524"/>
    <w:rsid w:val="00856499"/>
    <w:rsid w:val="008B63CA"/>
    <w:rsid w:val="008C70A7"/>
    <w:rsid w:val="00903C88"/>
    <w:rsid w:val="00904F94"/>
    <w:rsid w:val="00911F8F"/>
    <w:rsid w:val="0092242D"/>
    <w:rsid w:val="009320FC"/>
    <w:rsid w:val="00941D63"/>
    <w:rsid w:val="00955008"/>
    <w:rsid w:val="00964EA3"/>
    <w:rsid w:val="00990820"/>
    <w:rsid w:val="00991C82"/>
    <w:rsid w:val="009A514C"/>
    <w:rsid w:val="009B7F85"/>
    <w:rsid w:val="009E7D6D"/>
    <w:rsid w:val="00A017A3"/>
    <w:rsid w:val="00A1435D"/>
    <w:rsid w:val="00A30B4D"/>
    <w:rsid w:val="00A30FD9"/>
    <w:rsid w:val="00A3153C"/>
    <w:rsid w:val="00A35606"/>
    <w:rsid w:val="00A41918"/>
    <w:rsid w:val="00A71EED"/>
    <w:rsid w:val="00A94551"/>
    <w:rsid w:val="00AC0EB1"/>
    <w:rsid w:val="00AC485D"/>
    <w:rsid w:val="00AC7D62"/>
    <w:rsid w:val="00AF6FA4"/>
    <w:rsid w:val="00B02945"/>
    <w:rsid w:val="00B2190F"/>
    <w:rsid w:val="00B378B0"/>
    <w:rsid w:val="00B417C7"/>
    <w:rsid w:val="00B43466"/>
    <w:rsid w:val="00B47F63"/>
    <w:rsid w:val="00B80097"/>
    <w:rsid w:val="00B838D6"/>
    <w:rsid w:val="00BA2D2E"/>
    <w:rsid w:val="00BC1B7D"/>
    <w:rsid w:val="00BD2FDC"/>
    <w:rsid w:val="00BE0195"/>
    <w:rsid w:val="00BE2CFA"/>
    <w:rsid w:val="00BE6586"/>
    <w:rsid w:val="00BF0B2F"/>
    <w:rsid w:val="00C0075D"/>
    <w:rsid w:val="00C117F9"/>
    <w:rsid w:val="00C24FCF"/>
    <w:rsid w:val="00C31193"/>
    <w:rsid w:val="00C3357B"/>
    <w:rsid w:val="00C645EF"/>
    <w:rsid w:val="00C82909"/>
    <w:rsid w:val="00CA48D0"/>
    <w:rsid w:val="00CE2A2A"/>
    <w:rsid w:val="00CF0BA3"/>
    <w:rsid w:val="00CF18A0"/>
    <w:rsid w:val="00D0129E"/>
    <w:rsid w:val="00D15331"/>
    <w:rsid w:val="00D43CB7"/>
    <w:rsid w:val="00D51BBC"/>
    <w:rsid w:val="00D54DF2"/>
    <w:rsid w:val="00D66AC5"/>
    <w:rsid w:val="00D67EC4"/>
    <w:rsid w:val="00D75EE0"/>
    <w:rsid w:val="00D92F9D"/>
    <w:rsid w:val="00DC09AF"/>
    <w:rsid w:val="00DC70A8"/>
    <w:rsid w:val="00DD31DA"/>
    <w:rsid w:val="00DE67C6"/>
    <w:rsid w:val="00E26C3B"/>
    <w:rsid w:val="00E439D5"/>
    <w:rsid w:val="00E54103"/>
    <w:rsid w:val="00E619A0"/>
    <w:rsid w:val="00E67DD7"/>
    <w:rsid w:val="00E9720D"/>
    <w:rsid w:val="00EB5DAB"/>
    <w:rsid w:val="00ED460B"/>
    <w:rsid w:val="00F239D1"/>
    <w:rsid w:val="00F55182"/>
    <w:rsid w:val="00F65903"/>
    <w:rsid w:val="00F8482E"/>
    <w:rsid w:val="00F93E29"/>
    <w:rsid w:val="00FA232A"/>
    <w:rsid w:val="00FD65EC"/>
    <w:rsid w:val="00FF279C"/>
    <w:rsid w:val="00FF3DEE"/>
    <w:rsid w:val="00FF69C4"/>
    <w:rsid w:val="04EB31F1"/>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8"/>
        <o:r id="V:Rule2"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日期 Char"/>
    <w:basedOn w:val="6"/>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150</Words>
  <Characters>861</Characters>
  <Lines>7</Lines>
  <Paragraphs>2</Paragraphs>
  <TotalTime>0</TotalTime>
  <ScaleCrop>false</ScaleCrop>
  <LinksUpToDate>false</LinksUpToDate>
  <CharactersWithSpaces>1009</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2016-08-03T02:46:00Z</dcterms:created>
  <dc:creator>lenovo</dc:creator>
  <cp:lastModifiedBy>test</cp:lastModifiedBy>
  <cp:lastPrinted>2016-08-05T07:44:00Z</cp:lastPrinted>
  <dcterms:modified xsi:type="dcterms:W3CDTF">2016-08-09T00:23:24Z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